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7517C" w:rsidRDefault="0007517C" w:rsidP="000751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C66732" wp14:editId="3071BEE2">
            <wp:extent cx="2219325" cy="775503"/>
            <wp:effectExtent l="0" t="0" r="0" b="5715"/>
            <wp:docPr id="2" name="Picture 2" descr="cid:image003.jpg@01D61EDA.748F7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1EDA.748F7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81" cy="78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7517C" w:rsidRDefault="0007517C"/>
    <w:p w14:paraId="5DAB6C7B" w14:textId="77777777" w:rsidR="0007517C" w:rsidRDefault="0007517C"/>
    <w:p w14:paraId="1B18EB12" w14:textId="77777777" w:rsidR="0007517C" w:rsidRPr="0007517C" w:rsidRDefault="0007517C" w:rsidP="0007517C">
      <w:pPr>
        <w:jc w:val="center"/>
        <w:rPr>
          <w:rFonts w:ascii="Tw Cen MT" w:hAnsi="Tw Cen MT"/>
          <w:b/>
          <w:sz w:val="28"/>
          <w:szCs w:val="24"/>
        </w:rPr>
      </w:pPr>
      <w:r w:rsidRPr="0007517C">
        <w:rPr>
          <w:rFonts w:ascii="Tw Cen MT" w:hAnsi="Tw Cen MT"/>
          <w:b/>
          <w:sz w:val="28"/>
          <w:szCs w:val="24"/>
        </w:rPr>
        <w:t xml:space="preserve">Initial </w:t>
      </w:r>
      <w:r>
        <w:rPr>
          <w:rFonts w:ascii="Tw Cen MT" w:hAnsi="Tw Cen MT"/>
          <w:b/>
          <w:sz w:val="28"/>
          <w:szCs w:val="24"/>
        </w:rPr>
        <w:t>Member Brainstorm</w:t>
      </w:r>
      <w:r w:rsidRPr="0007517C">
        <w:rPr>
          <w:rFonts w:ascii="Tw Cen MT" w:hAnsi="Tw Cen MT"/>
          <w:b/>
          <w:sz w:val="28"/>
          <w:szCs w:val="24"/>
        </w:rPr>
        <w:t xml:space="preserve"> on School</w:t>
      </w:r>
      <w:r w:rsidR="00E374B3">
        <w:rPr>
          <w:rFonts w:ascii="Tw Cen MT" w:hAnsi="Tw Cen MT"/>
          <w:b/>
          <w:sz w:val="28"/>
          <w:szCs w:val="24"/>
        </w:rPr>
        <w:t>s’</w:t>
      </w:r>
      <w:r w:rsidRPr="0007517C">
        <w:rPr>
          <w:rFonts w:ascii="Tw Cen MT" w:hAnsi="Tw Cen MT"/>
          <w:b/>
          <w:sz w:val="28"/>
          <w:szCs w:val="24"/>
        </w:rPr>
        <w:t xml:space="preserve"> Re-Opening</w:t>
      </w:r>
      <w:r w:rsidR="00E374B3">
        <w:rPr>
          <w:rFonts w:ascii="Tw Cen MT" w:hAnsi="Tw Cen MT"/>
          <w:b/>
          <w:sz w:val="28"/>
          <w:szCs w:val="24"/>
        </w:rPr>
        <w:t xml:space="preserve"> for In-Person Learning</w:t>
      </w:r>
    </w:p>
    <w:p w14:paraId="02EB378F" w14:textId="77777777" w:rsidR="0007517C" w:rsidRDefault="0007517C" w:rsidP="0007517C">
      <w:pPr>
        <w:rPr>
          <w:rFonts w:ascii="Tw Cen MT" w:hAnsi="Tw Cen MT"/>
          <w:sz w:val="24"/>
          <w:szCs w:val="24"/>
        </w:rPr>
      </w:pPr>
    </w:p>
    <w:p w14:paraId="6A05A809" w14:textId="77777777" w:rsidR="0007517C" w:rsidRDefault="0007517C" w:rsidP="0007517C">
      <w:pPr>
        <w:rPr>
          <w:rFonts w:ascii="Tw Cen MT" w:hAnsi="Tw Cen MT"/>
          <w:sz w:val="24"/>
          <w:szCs w:val="24"/>
        </w:rPr>
      </w:pPr>
    </w:p>
    <w:p w14:paraId="73C0466E" w14:textId="77777777" w:rsidR="0007517C" w:rsidRPr="00E374B3" w:rsidRDefault="0007517C" w:rsidP="0007517C">
      <w:pPr>
        <w:rPr>
          <w:rFonts w:ascii="Tw Cen MT" w:hAnsi="Tw Cen MT"/>
          <w:b/>
          <w:sz w:val="24"/>
          <w:szCs w:val="24"/>
        </w:rPr>
      </w:pPr>
      <w:r w:rsidRPr="00E374B3">
        <w:rPr>
          <w:rFonts w:ascii="Tw Cen MT" w:hAnsi="Tw Cen MT"/>
          <w:b/>
          <w:sz w:val="24"/>
          <w:szCs w:val="24"/>
        </w:rPr>
        <w:t>Safety for Students and Workforce</w:t>
      </w:r>
    </w:p>
    <w:p w14:paraId="75062BEB" w14:textId="3A6CAA52" w:rsidR="0007517C" w:rsidRPr="00E374B3" w:rsidRDefault="50B1F5EF" w:rsidP="00E374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50B1F5EF">
        <w:rPr>
          <w:rFonts w:ascii="Tw Cen MT" w:hAnsi="Tw Cen MT"/>
          <w:sz w:val="24"/>
          <w:szCs w:val="24"/>
        </w:rPr>
        <w:t>Ensure that reliable, widespread</w:t>
      </w:r>
      <w:r w:rsidR="004A53F5">
        <w:rPr>
          <w:rFonts w:ascii="Tw Cen MT" w:hAnsi="Tw Cen MT"/>
          <w:sz w:val="24"/>
          <w:szCs w:val="24"/>
        </w:rPr>
        <w:t xml:space="preserve"> COVID-19</w:t>
      </w:r>
      <w:r w:rsidRPr="50B1F5EF">
        <w:rPr>
          <w:rFonts w:ascii="Tw Cen MT" w:hAnsi="Tw Cen MT"/>
          <w:sz w:val="24"/>
          <w:szCs w:val="24"/>
        </w:rPr>
        <w:t xml:space="preserve"> testing</w:t>
      </w:r>
      <w:r w:rsidR="00966EC2">
        <w:rPr>
          <w:rFonts w:ascii="Tw Cen MT" w:hAnsi="Tw Cen MT"/>
          <w:sz w:val="24"/>
          <w:szCs w:val="24"/>
        </w:rPr>
        <w:t xml:space="preserve">, effective tracing, and social distancing strategies have been used in the communities that are considering re-opening their public schools for face-to-face learning </w:t>
      </w:r>
    </w:p>
    <w:p w14:paraId="152BCCBE" w14:textId="0F84370E" w:rsidR="50B1F5EF" w:rsidRDefault="00966EC2" w:rsidP="50B1F5E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Education </w:t>
      </w:r>
      <w:r w:rsidR="50B1F5EF" w:rsidRPr="50B1F5EF">
        <w:rPr>
          <w:rFonts w:ascii="Tw Cen MT" w:hAnsi="Tw Cen MT"/>
          <w:sz w:val="24"/>
          <w:szCs w:val="24"/>
        </w:rPr>
        <w:t>employees are assured access to personal protective equipment and disinfectant items</w:t>
      </w:r>
    </w:p>
    <w:p w14:paraId="78EA37A0" w14:textId="32C1C1A0" w:rsidR="50B1F5EF" w:rsidRDefault="50B1F5EF" w:rsidP="50B1F5E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0B1F5EF">
        <w:rPr>
          <w:rFonts w:ascii="Tw Cen MT" w:hAnsi="Tw Cen MT"/>
          <w:sz w:val="24"/>
          <w:szCs w:val="24"/>
        </w:rPr>
        <w:t>Leverage labor management collaboratives to co</w:t>
      </w:r>
      <w:r w:rsidR="004A53F5">
        <w:rPr>
          <w:rFonts w:ascii="Tw Cen MT" w:hAnsi="Tw Cen MT"/>
          <w:sz w:val="24"/>
          <w:szCs w:val="24"/>
        </w:rPr>
        <w:t>-</w:t>
      </w:r>
      <w:r w:rsidRPr="50B1F5EF">
        <w:rPr>
          <w:rFonts w:ascii="Tw Cen MT" w:hAnsi="Tw Cen MT"/>
          <w:sz w:val="24"/>
          <w:szCs w:val="24"/>
        </w:rPr>
        <w:t xml:space="preserve">create reopening plans that ensure </w:t>
      </w:r>
      <w:r w:rsidR="00966EC2">
        <w:rPr>
          <w:rFonts w:ascii="Tw Cen MT" w:hAnsi="Tw Cen MT"/>
          <w:sz w:val="24"/>
          <w:szCs w:val="24"/>
        </w:rPr>
        <w:t xml:space="preserve">the </w:t>
      </w:r>
      <w:r w:rsidRPr="50B1F5EF">
        <w:rPr>
          <w:rFonts w:ascii="Tw Cen MT" w:hAnsi="Tw Cen MT"/>
          <w:sz w:val="24"/>
          <w:szCs w:val="24"/>
        </w:rPr>
        <w:t xml:space="preserve">safety of students, educators, and communities </w:t>
      </w:r>
    </w:p>
    <w:p w14:paraId="5A39BBE3" w14:textId="77777777" w:rsidR="0007517C" w:rsidRDefault="0007517C" w:rsidP="0007517C">
      <w:pPr>
        <w:rPr>
          <w:rFonts w:ascii="Tw Cen MT" w:hAnsi="Tw Cen MT"/>
          <w:sz w:val="24"/>
          <w:szCs w:val="24"/>
        </w:rPr>
      </w:pPr>
    </w:p>
    <w:p w14:paraId="383B67F3" w14:textId="226E0E76" w:rsidR="0007517C" w:rsidRDefault="0007517C" w:rsidP="0007517C">
      <w:pPr>
        <w:pStyle w:val="paragraph"/>
        <w:spacing w:before="0" w:beforeAutospacing="0" w:after="0" w:afterAutospacing="0"/>
        <w:textAlignment w:val="baseline"/>
        <w:rPr>
          <w:rFonts w:ascii="Tw Cen MT" w:hAnsi="Tw Cen MT"/>
          <w:sz w:val="18"/>
          <w:szCs w:val="18"/>
        </w:rPr>
      </w:pPr>
      <w:r>
        <w:rPr>
          <w:rStyle w:val="normaltextrun"/>
          <w:rFonts w:ascii="Tw Cen MT" w:hAnsi="Tw Cen MT"/>
          <w:b/>
          <w:bCs/>
          <w:color w:val="000000"/>
          <w:sz w:val="24"/>
          <w:szCs w:val="24"/>
          <w:shd w:val="clear" w:color="auto" w:fill="FFFFFF"/>
        </w:rPr>
        <w:t>Social/Emotional </w:t>
      </w:r>
      <w:r w:rsidR="004A53F5">
        <w:rPr>
          <w:rStyle w:val="normaltextrun"/>
          <w:rFonts w:ascii="Tw Cen MT" w:hAnsi="Tw Cen MT"/>
          <w:b/>
          <w:bCs/>
          <w:color w:val="000000"/>
          <w:sz w:val="24"/>
          <w:szCs w:val="24"/>
          <w:shd w:val="clear" w:color="auto" w:fill="FFFFFF"/>
        </w:rPr>
        <w:t xml:space="preserve">Wellness and </w:t>
      </w:r>
      <w:r>
        <w:rPr>
          <w:rStyle w:val="normaltextrun"/>
          <w:rFonts w:ascii="Tw Cen MT" w:hAnsi="Tw Cen MT"/>
          <w:b/>
          <w:bCs/>
          <w:color w:val="000000"/>
          <w:sz w:val="24"/>
          <w:szCs w:val="24"/>
          <w:shd w:val="clear" w:color="auto" w:fill="FFFFFF"/>
        </w:rPr>
        <w:t>Supports</w:t>
      </w:r>
      <w:r>
        <w:rPr>
          <w:rStyle w:val="eop"/>
          <w:rFonts w:ascii="Tw Cen MT" w:hAnsi="Tw Cen MT"/>
          <w:sz w:val="24"/>
          <w:szCs w:val="24"/>
        </w:rPr>
        <w:t> </w:t>
      </w:r>
    </w:p>
    <w:p w14:paraId="575076E8" w14:textId="0554CD2C" w:rsidR="00737D7E" w:rsidRPr="00966EC2" w:rsidRDefault="00737D7E" w:rsidP="0007517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Students and educators will need time and space to grieve, heal, and re-connect</w:t>
      </w:r>
    </w:p>
    <w:p w14:paraId="214FB254" w14:textId="3982E22C" w:rsidR="00966EC2" w:rsidRPr="00737D7E" w:rsidRDefault="00966EC2" w:rsidP="0007517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Provide educators space for self-care and wellness before students return to in-person learning</w:t>
      </w:r>
    </w:p>
    <w:p w14:paraId="1811B129" w14:textId="27F5373C" w:rsidR="0007517C" w:rsidRDefault="0007517C" w:rsidP="0007517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 xml:space="preserve">Plan to strengthen </w:t>
      </w:r>
      <w:r w:rsidR="00966EC2"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 xml:space="preserve">student support </w:t>
      </w: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plans and increase staffing (specialized instructional support personnel like school counselors, school social workers, school psychologists, etc.) necessary to support students’ social and emotional well-being</w:t>
      </w:r>
      <w:r>
        <w:rPr>
          <w:rStyle w:val="eop"/>
          <w:rFonts w:ascii="Tw Cen MT" w:eastAsia="Times New Roman" w:hAnsi="Tw Cen MT"/>
          <w:sz w:val="24"/>
          <w:szCs w:val="24"/>
        </w:rPr>
        <w:t> </w:t>
      </w:r>
    </w:p>
    <w:p w14:paraId="3653B8F9" w14:textId="38164C8D" w:rsidR="0007517C" w:rsidRDefault="0007517C" w:rsidP="0007517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Provide</w:t>
      </w:r>
      <w:r w:rsidR="004A53F5"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 xml:space="preserve"> a</w:t>
      </w: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 xml:space="preserve"> full range of services for students, such as those implemented in</w:t>
      </w:r>
      <w:r w:rsidR="00966EC2"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 xml:space="preserve"> full-service community schools</w:t>
      </w:r>
      <w:r>
        <w:rPr>
          <w:rStyle w:val="eop"/>
          <w:rFonts w:ascii="Tw Cen MT" w:eastAsia="Times New Roman" w:hAnsi="Tw Cen MT"/>
          <w:sz w:val="24"/>
          <w:szCs w:val="24"/>
        </w:rPr>
        <w:t> </w:t>
      </w:r>
    </w:p>
    <w:p w14:paraId="3485B5EE" w14:textId="7B04BAD9" w:rsidR="0007517C" w:rsidRDefault="0007517C" w:rsidP="50B1F5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Build stronger connections with families and communities to better equip them to support student learning and engage them on supports to ease the transition back to school</w:t>
      </w:r>
    </w:p>
    <w:p w14:paraId="61F813D6" w14:textId="4A83A140" w:rsidR="0007517C" w:rsidRDefault="0007517C" w:rsidP="0007517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Establish bridge programs for elementary, middle, and high school transitions</w:t>
      </w:r>
      <w:r>
        <w:rPr>
          <w:rStyle w:val="eop"/>
          <w:rFonts w:ascii="Tw Cen MT" w:eastAsia="Times New Roman" w:hAnsi="Tw Cen MT"/>
          <w:sz w:val="24"/>
          <w:szCs w:val="24"/>
        </w:rPr>
        <w:t> </w:t>
      </w:r>
    </w:p>
    <w:p w14:paraId="3E9AD73B" w14:textId="77777777" w:rsidR="0007517C" w:rsidRDefault="0007517C" w:rsidP="0007517C">
      <w:pPr>
        <w:numPr>
          <w:ilvl w:val="0"/>
          <w:numId w:val="1"/>
        </w:numPr>
        <w:rPr>
          <w:rFonts w:ascii="Tw Cen MT" w:eastAsia="Times New Roman" w:hAnsi="Tw Cen MT"/>
          <w:sz w:val="24"/>
          <w:szCs w:val="24"/>
        </w:rPr>
      </w:pPr>
      <w:r>
        <w:rPr>
          <w:rFonts w:ascii="Tw Cen MT" w:eastAsia="Times New Roman" w:hAnsi="Tw Cen MT"/>
          <w:sz w:val="24"/>
          <w:szCs w:val="24"/>
        </w:rPr>
        <w:t>Educators and students will need closure from 2019-20 experiences (both emotional connections and learning connections)</w:t>
      </w:r>
    </w:p>
    <w:p w14:paraId="41C8F396" w14:textId="77777777" w:rsidR="0007517C" w:rsidRDefault="0007517C" w:rsidP="000751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 Cen MT" w:hAnsi="Tw Cen MT"/>
          <w:b/>
          <w:bCs/>
          <w:color w:val="000000"/>
          <w:sz w:val="24"/>
          <w:szCs w:val="24"/>
          <w:shd w:val="clear" w:color="auto" w:fill="FFFFFF"/>
        </w:rPr>
      </w:pPr>
    </w:p>
    <w:p w14:paraId="355BA164" w14:textId="2778A8E1" w:rsidR="0007517C" w:rsidRDefault="0007517C" w:rsidP="0007517C">
      <w:pPr>
        <w:pStyle w:val="paragraph"/>
        <w:spacing w:before="0" w:beforeAutospacing="0" w:after="0" w:afterAutospacing="0"/>
        <w:textAlignment w:val="baseline"/>
        <w:rPr>
          <w:rFonts w:ascii="Tw Cen MT" w:hAnsi="Tw Cen MT"/>
          <w:sz w:val="18"/>
          <w:szCs w:val="18"/>
        </w:rPr>
      </w:pPr>
      <w:r>
        <w:rPr>
          <w:rStyle w:val="normaltextrun"/>
          <w:rFonts w:ascii="Tw Cen MT" w:hAnsi="Tw Cen MT"/>
          <w:b/>
          <w:bCs/>
          <w:color w:val="000000"/>
          <w:sz w:val="24"/>
          <w:szCs w:val="24"/>
          <w:shd w:val="clear" w:color="auto" w:fill="FFFFFF"/>
        </w:rPr>
        <w:t>Planning</w:t>
      </w:r>
      <w:r w:rsidR="00966EC2">
        <w:rPr>
          <w:rStyle w:val="normaltextrun"/>
          <w:rFonts w:ascii="Tw Cen MT" w:hAnsi="Tw Cen MT"/>
          <w:b/>
          <w:bCs/>
          <w:color w:val="000000"/>
          <w:sz w:val="24"/>
          <w:szCs w:val="24"/>
          <w:shd w:val="clear" w:color="auto" w:fill="FFFFFF"/>
        </w:rPr>
        <w:t xml:space="preserve"> for Learning</w:t>
      </w:r>
      <w:r>
        <w:rPr>
          <w:rStyle w:val="normaltextrun"/>
          <w:rFonts w:ascii="Tw Cen MT" w:hAnsi="Tw Cen MT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rFonts w:ascii="Tw Cen MT" w:hAnsi="Tw Cen MT"/>
          <w:sz w:val="24"/>
          <w:szCs w:val="24"/>
        </w:rPr>
        <w:t> </w:t>
      </w:r>
    </w:p>
    <w:p w14:paraId="31FD393A" w14:textId="77777777" w:rsidR="00966EC2" w:rsidRDefault="00966EC2" w:rsidP="00966EC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Create an Equity Plan for both the district and the schools within, that incorporates stated goals and objectives to ensure equitable learning opportunities for traditionally under-served students </w:t>
      </w:r>
      <w:r>
        <w:rPr>
          <w:rStyle w:val="eop"/>
          <w:rFonts w:ascii="Tw Cen MT" w:eastAsia="Times New Roman" w:hAnsi="Tw Cen MT"/>
          <w:sz w:val="24"/>
          <w:szCs w:val="24"/>
        </w:rPr>
        <w:t> </w:t>
      </w:r>
    </w:p>
    <w:p w14:paraId="229254E2" w14:textId="77777777" w:rsidR="0007517C" w:rsidRPr="00E374B3" w:rsidRDefault="0007517C" w:rsidP="0007517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Ensure trauma-informed practices are part of the planning from the beginning</w:t>
      </w:r>
    </w:p>
    <w:p w14:paraId="39CF5977" w14:textId="23932526" w:rsidR="00E374B3" w:rsidRDefault="00E374B3" w:rsidP="00E374B3">
      <w:pPr>
        <w:numPr>
          <w:ilvl w:val="0"/>
          <w:numId w:val="4"/>
        </w:numPr>
        <w:rPr>
          <w:rFonts w:ascii="Tw Cen MT" w:eastAsia="Times New Roman" w:hAnsi="Tw Cen MT"/>
          <w:sz w:val="24"/>
          <w:szCs w:val="24"/>
        </w:rPr>
      </w:pPr>
      <w:r>
        <w:rPr>
          <w:rFonts w:ascii="Tw Cen MT" w:eastAsia="Times New Roman" w:hAnsi="Tw Cen MT"/>
          <w:sz w:val="24"/>
          <w:szCs w:val="24"/>
        </w:rPr>
        <w:t>In special education, IEP implementation and planning, including ad</w:t>
      </w:r>
      <w:r w:rsidR="006924A9">
        <w:rPr>
          <w:rFonts w:ascii="Tw Cen MT" w:eastAsia="Times New Roman" w:hAnsi="Tw Cen MT"/>
          <w:sz w:val="24"/>
          <w:szCs w:val="24"/>
        </w:rPr>
        <w:t>dressing compensatory services,</w:t>
      </w:r>
      <w:r w:rsidR="004A53F5">
        <w:rPr>
          <w:rFonts w:ascii="Tw Cen MT" w:eastAsia="Times New Roman" w:hAnsi="Tw Cen MT"/>
          <w:sz w:val="24"/>
          <w:szCs w:val="24"/>
        </w:rPr>
        <w:t xml:space="preserve"> </w:t>
      </w:r>
      <w:r>
        <w:rPr>
          <w:rFonts w:ascii="Tw Cen MT" w:eastAsia="Times New Roman" w:hAnsi="Tw Cen MT"/>
          <w:sz w:val="24"/>
          <w:szCs w:val="24"/>
        </w:rPr>
        <w:t>will be major issues for special educators when schools re-open for face-to-face learning</w:t>
      </w:r>
    </w:p>
    <w:p w14:paraId="65EF9658" w14:textId="3A728A8B" w:rsidR="00E374B3" w:rsidRPr="00966EC2" w:rsidRDefault="00E374B3" w:rsidP="00E374B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w Cen MT" w:hAnsi="Tw Cen MT"/>
          <w:sz w:val="24"/>
          <w:szCs w:val="24"/>
        </w:rPr>
      </w:pPr>
      <w:r w:rsidRPr="00966EC2">
        <w:rPr>
          <w:rStyle w:val="normaltextrun"/>
          <w:rFonts w:ascii="Tw Cen MT" w:hAnsi="Tw Cen MT"/>
          <w:sz w:val="24"/>
          <w:szCs w:val="24"/>
        </w:rPr>
        <w:t xml:space="preserve">Ensure that modifications and/or accommodations for students with </w:t>
      </w:r>
      <w:r w:rsidR="00966EC2">
        <w:rPr>
          <w:rStyle w:val="normaltextrun"/>
          <w:rFonts w:ascii="Tw Cen MT" w:hAnsi="Tw Cen MT"/>
          <w:sz w:val="24"/>
          <w:szCs w:val="24"/>
        </w:rPr>
        <w:t xml:space="preserve">disabilities </w:t>
      </w:r>
      <w:r w:rsidR="00737D7E" w:rsidRPr="00966EC2">
        <w:rPr>
          <w:rStyle w:val="normaltextrun"/>
          <w:rFonts w:ascii="Tw Cen MT" w:hAnsi="Tw Cen MT"/>
          <w:sz w:val="24"/>
          <w:szCs w:val="24"/>
        </w:rPr>
        <w:t>continue to be provided,</w:t>
      </w:r>
      <w:r w:rsidRPr="00966EC2">
        <w:rPr>
          <w:rStyle w:val="normaltextrun"/>
          <w:rFonts w:ascii="Tw Cen MT" w:hAnsi="Tw Cen MT"/>
          <w:sz w:val="24"/>
          <w:szCs w:val="24"/>
        </w:rPr>
        <w:t xml:space="preserve"> even when instruction is occurring digitally</w:t>
      </w:r>
      <w:r w:rsidRPr="00966EC2">
        <w:rPr>
          <w:rStyle w:val="eop"/>
          <w:rFonts w:ascii="Tw Cen MT" w:hAnsi="Tw Cen MT"/>
          <w:sz w:val="24"/>
          <w:szCs w:val="24"/>
        </w:rPr>
        <w:t> </w:t>
      </w:r>
    </w:p>
    <w:p w14:paraId="43054131" w14:textId="13300A8B" w:rsidR="0007517C" w:rsidRDefault="0007517C" w:rsidP="0007517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Allow educators to spend time in development teams discussing curricular changes and preparing for the next school year</w:t>
      </w:r>
    </w:p>
    <w:p w14:paraId="4DF41445" w14:textId="70C2ED43" w:rsidR="0007517C" w:rsidRDefault="0007517C" w:rsidP="0007517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Focus on depth, rather than breadth, in curriculum</w:t>
      </w:r>
    </w:p>
    <w:p w14:paraId="0D0B940D" w14:textId="5A892B88" w:rsidR="0007517C" w:rsidRDefault="0007517C" w:rsidP="0007517C">
      <w:pPr>
        <w:pStyle w:val="paragraph"/>
        <w:spacing w:before="0" w:beforeAutospacing="0" w:after="0" w:afterAutospacing="0"/>
        <w:ind w:left="720"/>
        <w:textAlignment w:val="baseline"/>
        <w:rPr>
          <w:rFonts w:ascii="Tw Cen MT" w:hAnsi="Tw Cen MT"/>
          <w:sz w:val="18"/>
          <w:szCs w:val="18"/>
        </w:rPr>
      </w:pPr>
      <w:r>
        <w:rPr>
          <w:rStyle w:val="eop"/>
          <w:rFonts w:ascii="Tw Cen MT" w:hAnsi="Tw Cen MT"/>
          <w:sz w:val="24"/>
          <w:szCs w:val="24"/>
        </w:rPr>
        <w:lastRenderedPageBreak/>
        <w:t> </w:t>
      </w:r>
    </w:p>
    <w:p w14:paraId="2FBE0D41" w14:textId="77777777" w:rsidR="0007517C" w:rsidRDefault="0007517C" w:rsidP="0007517C">
      <w:pPr>
        <w:pStyle w:val="paragraph"/>
        <w:spacing w:before="0" w:beforeAutospacing="0" w:after="0" w:afterAutospacing="0"/>
        <w:textAlignment w:val="baseline"/>
        <w:rPr>
          <w:rFonts w:ascii="Tw Cen MT" w:hAnsi="Tw Cen MT"/>
          <w:sz w:val="18"/>
          <w:szCs w:val="18"/>
        </w:rPr>
      </w:pPr>
      <w:r>
        <w:rPr>
          <w:rStyle w:val="normaltextrun"/>
          <w:rFonts w:ascii="Tw Cen MT" w:hAnsi="Tw Cen MT"/>
          <w:b/>
          <w:bCs/>
          <w:color w:val="000000"/>
          <w:sz w:val="24"/>
          <w:szCs w:val="24"/>
          <w:shd w:val="clear" w:color="auto" w:fill="FFFFFF"/>
        </w:rPr>
        <w:t>Policy Responses </w:t>
      </w:r>
      <w:r>
        <w:rPr>
          <w:rStyle w:val="eop"/>
          <w:rFonts w:ascii="Tw Cen MT" w:hAnsi="Tw Cen MT"/>
          <w:sz w:val="24"/>
          <w:szCs w:val="24"/>
        </w:rPr>
        <w:t> </w:t>
      </w:r>
    </w:p>
    <w:p w14:paraId="43D68B22" w14:textId="577B6734" w:rsidR="0007517C" w:rsidRDefault="0007517C" w:rsidP="000751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sz w:val="24"/>
          <w:szCs w:val="24"/>
        </w:rPr>
        <w:t>Fair, clear, and consistent expectations across districts and within states</w:t>
      </w:r>
    </w:p>
    <w:p w14:paraId="1D8B8488" w14:textId="77777777" w:rsidR="0007517C" w:rsidRDefault="0007517C" w:rsidP="000751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w Cen MT" w:hAnsi="Tw Cen MT"/>
          <w:sz w:val="24"/>
          <w:szCs w:val="24"/>
        </w:rPr>
      </w:pPr>
      <w:r>
        <w:rPr>
          <w:rStyle w:val="normaltextrun"/>
          <w:rFonts w:ascii="Tw Cen MT" w:hAnsi="Tw Cen MT"/>
          <w:sz w:val="24"/>
          <w:szCs w:val="24"/>
        </w:rPr>
        <w:t>Provide quality high speed broadband Internet access for every student and educator who needs it</w:t>
      </w:r>
      <w:r>
        <w:rPr>
          <w:rStyle w:val="eop"/>
          <w:rFonts w:ascii="Tw Cen MT" w:hAnsi="Tw Cen MT"/>
          <w:sz w:val="24"/>
          <w:szCs w:val="24"/>
        </w:rPr>
        <w:t> </w:t>
      </w:r>
    </w:p>
    <w:p w14:paraId="5E2DDDDE" w14:textId="34331CCE" w:rsidR="0007517C" w:rsidRDefault="0007517C" w:rsidP="000751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w Cen MT" w:hAnsi="Tw Cen MT"/>
          <w:sz w:val="24"/>
          <w:szCs w:val="24"/>
        </w:rPr>
      </w:pPr>
      <w:r>
        <w:rPr>
          <w:rStyle w:val="normaltextrun"/>
          <w:rFonts w:ascii="Tw Cen MT" w:hAnsi="Tw Cen MT"/>
          <w:sz w:val="24"/>
          <w:szCs w:val="24"/>
        </w:rPr>
        <w:t>Implement a 1:1 device initiative for all students</w:t>
      </w:r>
      <w:r>
        <w:rPr>
          <w:rStyle w:val="eop"/>
          <w:rFonts w:ascii="Tw Cen MT" w:hAnsi="Tw Cen MT"/>
          <w:sz w:val="24"/>
          <w:szCs w:val="24"/>
        </w:rPr>
        <w:t> and all educator</w:t>
      </w:r>
      <w:r w:rsidR="004A53F5">
        <w:rPr>
          <w:rStyle w:val="eop"/>
          <w:rFonts w:ascii="Tw Cen MT" w:hAnsi="Tw Cen MT"/>
          <w:sz w:val="24"/>
          <w:szCs w:val="24"/>
        </w:rPr>
        <w:t>s</w:t>
      </w:r>
    </w:p>
    <w:p w14:paraId="6D99EBA6" w14:textId="130BB3B0" w:rsidR="0007517C" w:rsidRDefault="0007517C" w:rsidP="000751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sz w:val="24"/>
          <w:szCs w:val="24"/>
        </w:rPr>
        <w:t>Suspend standardized testing that is not diagnostic in 2021-2022 and allow schools and educators to focus on learning loss and student social/emotional health needs</w:t>
      </w:r>
    </w:p>
    <w:p w14:paraId="112A480C" w14:textId="69350927" w:rsidR="0007517C" w:rsidRDefault="0007517C" w:rsidP="000751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color w:val="000000"/>
          <w:sz w:val="24"/>
          <w:szCs w:val="24"/>
          <w:shd w:val="clear" w:color="auto" w:fill="FFFFFF"/>
        </w:rPr>
        <w:t>Continue to remedy the homework gap by providing access to digital devices and home broadband internet to all students</w:t>
      </w:r>
    </w:p>
    <w:p w14:paraId="313A276B" w14:textId="773ECBB7" w:rsidR="006924A9" w:rsidRPr="006924A9" w:rsidRDefault="0007517C" w:rsidP="006924A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sz w:val="24"/>
          <w:szCs w:val="24"/>
        </w:rPr>
        <w:t>Support families with interventions that reduce the cycle of poverty, particularly as families face increases in unemployment, such as universal early childhood education, school meals, and health care</w:t>
      </w:r>
    </w:p>
    <w:p w14:paraId="664425DA" w14:textId="2F5E90AB" w:rsidR="0007517C" w:rsidRDefault="0007517C" w:rsidP="000751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>
        <w:rPr>
          <w:rStyle w:val="normaltextrun"/>
          <w:rFonts w:ascii="Tw Cen MT" w:eastAsia="Times New Roman" w:hAnsi="Tw Cen MT"/>
          <w:sz w:val="24"/>
          <w:szCs w:val="24"/>
        </w:rPr>
        <w:t xml:space="preserve">Ensure that </w:t>
      </w:r>
      <w:r w:rsidRPr="0007517C">
        <w:rPr>
          <w:rStyle w:val="normaltextrun"/>
          <w:rFonts w:ascii="Tw Cen MT" w:eastAsia="Times New Roman" w:hAnsi="Tw Cen MT"/>
          <w:b/>
          <w:i/>
          <w:sz w:val="24"/>
          <w:szCs w:val="24"/>
        </w:rPr>
        <w:t>all</w:t>
      </w:r>
      <w:r>
        <w:rPr>
          <w:rStyle w:val="normaltextrun"/>
          <w:rFonts w:ascii="Tw Cen MT" w:eastAsia="Times New Roman" w:hAnsi="Tw Cen MT"/>
          <w:sz w:val="24"/>
          <w:szCs w:val="24"/>
        </w:rPr>
        <w:t xml:space="preserve"> educators have professional pay and healthcare benefits</w:t>
      </w:r>
      <w:r w:rsidR="00966EC2">
        <w:rPr>
          <w:rStyle w:val="normaltextrun"/>
          <w:rFonts w:ascii="Tw Cen MT" w:eastAsia="Times New Roman" w:hAnsi="Tw Cen MT"/>
          <w:sz w:val="24"/>
          <w:szCs w:val="24"/>
        </w:rPr>
        <w:t>, and fight against privatization of educators’ jobs</w:t>
      </w:r>
      <w:r w:rsidR="006826DB">
        <w:rPr>
          <w:rStyle w:val="normaltextrun"/>
          <w:rFonts w:ascii="Tw Cen MT" w:eastAsia="Times New Roman" w:hAnsi="Tw Cen MT"/>
          <w:sz w:val="24"/>
          <w:szCs w:val="24"/>
        </w:rPr>
        <w:t xml:space="preserve"> particularly in the education support professionals’ space</w:t>
      </w:r>
    </w:p>
    <w:p w14:paraId="302BCEB9" w14:textId="3DD1790C" w:rsidR="0007517C" w:rsidRDefault="50B1F5EF" w:rsidP="50B1F5E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w Cen MT" w:eastAsia="Times New Roman" w:hAnsi="Tw Cen MT"/>
          <w:sz w:val="24"/>
          <w:szCs w:val="24"/>
        </w:rPr>
      </w:pPr>
      <w:r w:rsidRPr="50B1F5EF">
        <w:rPr>
          <w:rStyle w:val="normaltextrun"/>
          <w:rFonts w:ascii="Tw Cen MT" w:eastAsia="Times New Roman" w:hAnsi="Tw Cen MT"/>
          <w:sz w:val="24"/>
          <w:szCs w:val="24"/>
        </w:rPr>
        <w:t>Maintain adequate funding for public educatio</w:t>
      </w:r>
      <w:r w:rsidR="004A53F5">
        <w:rPr>
          <w:rStyle w:val="normaltextrun"/>
          <w:rFonts w:ascii="Tw Cen MT" w:eastAsia="Times New Roman" w:hAnsi="Tw Cen MT"/>
          <w:sz w:val="24"/>
          <w:szCs w:val="24"/>
        </w:rPr>
        <w:t>n</w:t>
      </w:r>
      <w:r w:rsidRPr="50B1F5EF">
        <w:rPr>
          <w:rStyle w:val="eop"/>
          <w:rFonts w:ascii="Tw Cen MT" w:eastAsia="Times New Roman" w:hAnsi="Tw Cen MT"/>
          <w:sz w:val="24"/>
          <w:szCs w:val="24"/>
        </w:rPr>
        <w:t> </w:t>
      </w:r>
    </w:p>
    <w:p w14:paraId="6C7A4A25" w14:textId="53D437D7" w:rsidR="50B1F5EF" w:rsidRDefault="50B1F5EF" w:rsidP="50B1F5EF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sz w:val="24"/>
          <w:szCs w:val="24"/>
        </w:rPr>
      </w:pPr>
      <w:r w:rsidRPr="50B1F5EF">
        <w:rPr>
          <w:rStyle w:val="eop"/>
          <w:rFonts w:ascii="Tw Cen MT" w:eastAsia="Times New Roman" w:hAnsi="Tw Cen MT"/>
          <w:sz w:val="24"/>
          <w:szCs w:val="24"/>
        </w:rPr>
        <w:t>Advocate for worker safety and protections</w:t>
      </w:r>
    </w:p>
    <w:p w14:paraId="0E27B00A" w14:textId="77777777" w:rsidR="0007517C" w:rsidRDefault="0007517C" w:rsidP="0007517C">
      <w:pPr>
        <w:rPr>
          <w:rFonts w:ascii="Tw Cen MT" w:hAnsi="Tw Cen MT"/>
          <w:sz w:val="24"/>
          <w:szCs w:val="24"/>
        </w:rPr>
      </w:pPr>
    </w:p>
    <w:p w14:paraId="60061E4C" w14:textId="77777777" w:rsidR="0007517C" w:rsidRDefault="0007517C" w:rsidP="0007517C">
      <w:pPr>
        <w:rPr>
          <w:rFonts w:ascii="Tw Cen MT" w:hAnsi="Tw Cen MT"/>
          <w:sz w:val="24"/>
          <w:szCs w:val="24"/>
        </w:rPr>
      </w:pPr>
    </w:p>
    <w:p w14:paraId="44EAFD9C" w14:textId="77777777" w:rsidR="0007517C" w:rsidRDefault="0007517C" w:rsidP="0007517C">
      <w:pPr>
        <w:rPr>
          <w:rFonts w:ascii="Tw Cen MT" w:hAnsi="Tw Cen MT"/>
          <w:sz w:val="24"/>
          <w:szCs w:val="24"/>
        </w:rPr>
      </w:pPr>
    </w:p>
    <w:p w14:paraId="4B94D5A5" w14:textId="77777777" w:rsidR="0007517C" w:rsidRDefault="0007517C" w:rsidP="0007517C"/>
    <w:p w14:paraId="3DEEC669" w14:textId="77777777" w:rsidR="0007517C" w:rsidRDefault="0007517C"/>
    <w:sectPr w:rsidR="0007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6DB4" w16cex:dateUtc="2020-04-30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19650B" w16cid:durableId="22556D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48"/>
    <w:multiLevelType w:val="hybridMultilevel"/>
    <w:tmpl w:val="490EF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86B4C"/>
    <w:multiLevelType w:val="multilevel"/>
    <w:tmpl w:val="FE9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718A9"/>
    <w:multiLevelType w:val="hybridMultilevel"/>
    <w:tmpl w:val="A39E6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D759C"/>
    <w:multiLevelType w:val="hybridMultilevel"/>
    <w:tmpl w:val="4D788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93CD5"/>
    <w:multiLevelType w:val="hybridMultilevel"/>
    <w:tmpl w:val="CC567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E4BBF"/>
    <w:multiLevelType w:val="hybridMultilevel"/>
    <w:tmpl w:val="4404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AD731C"/>
    <w:multiLevelType w:val="multilevel"/>
    <w:tmpl w:val="76E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C"/>
    <w:rsid w:val="0007517C"/>
    <w:rsid w:val="004A53F5"/>
    <w:rsid w:val="006826DB"/>
    <w:rsid w:val="006924A9"/>
    <w:rsid w:val="00737D7E"/>
    <w:rsid w:val="00966EC2"/>
    <w:rsid w:val="00E374B3"/>
    <w:rsid w:val="50B1F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A5AA"/>
  <w15:chartTrackingRefBased/>
  <w15:docId w15:val="{DF3DABA2-9711-4957-B34E-205E4DE6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17C"/>
    <w:rPr>
      <w:color w:val="0563C1"/>
      <w:u w:val="single"/>
    </w:rPr>
  </w:style>
  <w:style w:type="paragraph" w:customStyle="1" w:styleId="paragraph">
    <w:name w:val="paragraph"/>
    <w:basedOn w:val="Normal"/>
    <w:rsid w:val="0007517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7517C"/>
  </w:style>
  <w:style w:type="character" w:customStyle="1" w:styleId="eop">
    <w:name w:val="eop"/>
    <w:basedOn w:val="DefaultParagraphFont"/>
    <w:rsid w:val="0007517C"/>
  </w:style>
  <w:style w:type="paragraph" w:styleId="ListParagraph">
    <w:name w:val="List Paragraph"/>
    <w:basedOn w:val="Normal"/>
    <w:uiPriority w:val="34"/>
    <w:qFormat/>
    <w:rsid w:val="00E374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3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3F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1EDA.748F71F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CA14E3574E74ABA11053B202B25E8" ma:contentTypeVersion="6" ma:contentTypeDescription="Create a new document." ma:contentTypeScope="" ma:versionID="eb4a44e1c40598a932a419fbfabea719">
  <xsd:schema xmlns:xsd="http://www.w3.org/2001/XMLSchema" xmlns:xs="http://www.w3.org/2001/XMLSchema" xmlns:p="http://schemas.microsoft.com/office/2006/metadata/properties" xmlns:ns2="78767ddb-80fe-4412-bb42-af09d7c05c2a" xmlns:ns3="e203d933-1b7c-4fb5-ab19-be3bfb3ef479" targetNamespace="http://schemas.microsoft.com/office/2006/metadata/properties" ma:root="true" ma:fieldsID="31920f05e189cfe16bd4905411fe8e3d" ns2:_="" ns3:_="">
    <xsd:import namespace="78767ddb-80fe-4412-bb42-af09d7c05c2a"/>
    <xsd:import namespace="e203d933-1b7c-4fb5-ab19-be3bfb3ef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67ddb-80fe-4412-bb42-af09d7c05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d933-1b7c-4fb5-ab19-be3bfb3ef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271A-895F-453F-A0F9-64A1122F0216}"/>
</file>

<file path=customXml/itemProps2.xml><?xml version="1.0" encoding="utf-8"?>
<ds:datastoreItem xmlns:ds="http://schemas.openxmlformats.org/officeDocument/2006/customXml" ds:itemID="{C589601B-70C5-43C2-AF7B-D19CD5DC1917}"/>
</file>

<file path=customXml/itemProps3.xml><?xml version="1.0" encoding="utf-8"?>
<ds:datastoreItem xmlns:ds="http://schemas.openxmlformats.org/officeDocument/2006/customXml" ds:itemID="{8F05E550-0B46-459A-9445-33CE7B1CC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Harris-Aikens, Donna [NEA]</dc:creator>
  <cp:keywords/>
  <dc:description/>
  <cp:lastModifiedBy>Harris-Aikens, Donna [NEA]</cp:lastModifiedBy>
  <cp:revision>3</cp:revision>
  <dcterms:created xsi:type="dcterms:W3CDTF">2020-04-30T19:50:00Z</dcterms:created>
  <dcterms:modified xsi:type="dcterms:W3CDTF">2020-04-30T19:53:00Z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0x01010002ECA14E3574E74ABA11053B202B25E8</vt:lpwstr>
  </property>
</Properties>
</file>